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3A2AB4A1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BE04AD">
              <w:rPr>
                <w:rFonts w:cstheme="minorHAnsi"/>
                <w:bCs/>
              </w:rPr>
              <w:t>para o Parlamento Europeu – 9 de junho</w:t>
            </w:r>
            <w:r w:rsidR="00203CBC">
              <w:rPr>
                <w:rFonts w:cstheme="minorHAnsi"/>
                <w:bCs/>
              </w:rPr>
              <w:t xml:space="preserve">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564E1AC5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BE04AD">
        <w:rPr>
          <w:b/>
        </w:rPr>
        <w:t>20 de maio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2B398C"/>
    <w:rsid w:val="00527916"/>
    <w:rsid w:val="00A633C2"/>
    <w:rsid w:val="00AF7FEC"/>
    <w:rsid w:val="00BE04AD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121EA-8B8B-4838-8EAC-A033E737B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76BA-B496-46D4-931E-BD3FD84D1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9A844F-05F8-401A-BBDC-8CD6B9123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2024-04-17T13:10:00Z</dcterms:created>
  <dcterms:modified xsi:type="dcterms:W3CDTF">2024-04-17T13:10:00Z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